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E9F" w:rsidRPr="00DD18D2" w:rsidRDefault="00AE5E9F" w:rsidP="00AE5E9F">
      <w:pPr>
        <w:autoSpaceDE w:val="0"/>
        <w:autoSpaceDN w:val="0"/>
        <w:bidi w:val="0"/>
        <w:adjustRightInd w:val="0"/>
        <w:spacing w:after="0" w:line="360" w:lineRule="auto"/>
        <w:rPr>
          <w:rFonts w:ascii="Cambria" w:eastAsia="Times New Roman Bold+FPEF" w:hAnsi="Cambria" w:cstheme="minorHAnsi"/>
          <w:b/>
          <w:sz w:val="20"/>
          <w:szCs w:val="20"/>
        </w:rPr>
      </w:pPr>
      <w:r w:rsidRPr="00DD18D2">
        <w:rPr>
          <w:rFonts w:ascii="Cambria" w:eastAsia="Times New Roman Bold+FPEF" w:hAnsi="Cambria" w:cstheme="minorHAnsi"/>
          <w:b/>
          <w:sz w:val="24"/>
          <w:szCs w:val="24"/>
          <w:highlight w:val="lightGray"/>
        </w:rPr>
        <w:t>Original article</w:t>
      </w:r>
      <w:r w:rsidRPr="00DD18D2">
        <w:rPr>
          <w:rFonts w:ascii="Cambria" w:eastAsia="Times New Roman Bold+FPEF" w:hAnsi="Cambria" w:cstheme="minorHAnsi"/>
          <w:b/>
          <w:bCs/>
          <w:sz w:val="24"/>
          <w:szCs w:val="24"/>
        </w:rPr>
        <w:br/>
      </w:r>
      <w:r w:rsidRPr="00DD18D2">
        <w:rPr>
          <w:rFonts w:ascii="Cambria" w:eastAsia="Times New Roman Bold+FPEF" w:hAnsi="Cambria" w:cstheme="minorHAnsi"/>
          <w:b/>
          <w:color w:val="1F497D" w:themeColor="text2"/>
          <w:sz w:val="28"/>
          <w:szCs w:val="28"/>
        </w:rPr>
        <w:t>Assessment of Oxidant and Antioxidant</w:t>
      </w:r>
      <w:r w:rsidRPr="00DD18D2">
        <w:rPr>
          <w:rStyle w:val="apple-converted-space"/>
          <w:rFonts w:ascii="Cambria" w:hAnsi="Cambria" w:cstheme="minorHAnsi"/>
          <w:b/>
          <w:color w:val="1F497D" w:themeColor="text2"/>
          <w:sz w:val="28"/>
          <w:szCs w:val="28"/>
        </w:rPr>
        <w:t> </w:t>
      </w:r>
      <w:r w:rsidRPr="00DD18D2">
        <w:rPr>
          <w:rFonts w:ascii="Cambria" w:eastAsia="Times New Roman Bold+FPEF" w:hAnsi="Cambria" w:cstheme="minorHAnsi"/>
          <w:b/>
          <w:color w:val="1F497D" w:themeColor="text2"/>
          <w:sz w:val="28"/>
          <w:szCs w:val="28"/>
        </w:rPr>
        <w:t>Serum Levels in the Children with Chronic Tonsillitis Before and After Tonsillectomy</w:t>
      </w:r>
    </w:p>
    <w:p w:rsidR="00AE5E9F" w:rsidRDefault="00AE5E9F" w:rsidP="00AE5E9F">
      <w:pPr>
        <w:bidi w:val="0"/>
        <w:spacing w:after="0" w:line="360" w:lineRule="auto"/>
        <w:rPr>
          <w:rFonts w:ascii="Cambria" w:hAnsi="Cambria" w:cstheme="minorHAnsi"/>
          <w:b/>
          <w:vertAlign w:val="superscript"/>
          <w:lang w:val="en-SG"/>
        </w:rPr>
      </w:pPr>
      <w:r w:rsidRPr="00DD18D2">
        <w:rPr>
          <w:rFonts w:ascii="Cambria" w:hAnsi="Cambria" w:cstheme="minorHAnsi"/>
          <w:b/>
          <w:lang w:val="en-SG"/>
        </w:rPr>
        <w:t>MahmoodShishegar</w:t>
      </w:r>
      <w:r w:rsidRPr="00DD18D2">
        <w:rPr>
          <w:rFonts w:ascii="Cambria" w:hAnsi="Cambria" w:cstheme="minorHAnsi"/>
          <w:b/>
          <w:vertAlign w:val="superscript"/>
          <w:lang w:val="en-SG"/>
        </w:rPr>
        <w:t>1</w:t>
      </w:r>
      <w:r w:rsidRPr="00DD18D2">
        <w:rPr>
          <w:rFonts w:ascii="Cambria" w:hAnsi="Cambria" w:cstheme="minorHAnsi"/>
          <w:b/>
          <w:lang w:val="en-SG"/>
        </w:rPr>
        <w:t xml:space="preserve">, Mohammad Javad Ashraf </w:t>
      </w:r>
      <w:r w:rsidRPr="00DD18D2">
        <w:rPr>
          <w:rFonts w:ascii="Cambria" w:hAnsi="Cambria" w:cstheme="minorHAnsi"/>
          <w:b/>
          <w:vertAlign w:val="superscript"/>
          <w:lang w:val="en-SG"/>
        </w:rPr>
        <w:t>2</w:t>
      </w:r>
    </w:p>
    <w:p w:rsidR="00AE5E9F" w:rsidRPr="00DD18D2" w:rsidRDefault="00AE5E9F" w:rsidP="00AE5E9F">
      <w:pPr>
        <w:bidi w:val="0"/>
        <w:spacing w:after="0" w:line="360" w:lineRule="auto"/>
        <w:rPr>
          <w:rFonts w:ascii="Cambria" w:hAnsi="Cambria" w:cstheme="minorHAnsi"/>
          <w:b/>
          <w:vertAlign w:val="superscript"/>
          <w:lang w:val="en-SG"/>
        </w:rPr>
      </w:pPr>
    </w:p>
    <w:p w:rsidR="00AE5E9F" w:rsidRPr="00DD18D2" w:rsidRDefault="00AE5E9F" w:rsidP="00AE5E9F">
      <w:pPr>
        <w:tabs>
          <w:tab w:val="left" w:pos="7046"/>
          <w:tab w:val="right" w:pos="9026"/>
        </w:tabs>
        <w:bidi w:val="0"/>
        <w:spacing w:after="0" w:line="360" w:lineRule="auto"/>
        <w:rPr>
          <w:rFonts w:ascii="Cambria" w:hAnsi="Cambria" w:cstheme="minorHAnsi"/>
          <w:sz w:val="18"/>
          <w:szCs w:val="18"/>
          <w:lang w:val="en-SG"/>
        </w:rPr>
      </w:pPr>
      <w:r w:rsidRPr="00DD18D2">
        <w:rPr>
          <w:rFonts w:ascii="Cambria" w:hAnsi="Cambria" w:cstheme="minorHAnsi"/>
          <w:sz w:val="18"/>
          <w:szCs w:val="18"/>
          <w:vertAlign w:val="superscript"/>
          <w:lang w:val="en-SG"/>
        </w:rPr>
        <w:t>1</w:t>
      </w:r>
      <w:r w:rsidRPr="00DD18D2">
        <w:rPr>
          <w:rFonts w:ascii="Cambria" w:hAnsi="Cambria" w:cstheme="minorHAnsi"/>
          <w:sz w:val="18"/>
          <w:szCs w:val="18"/>
          <w:lang w:val="en-SG"/>
        </w:rPr>
        <w:t>Department of otolaryngology, Shiraz University of Medical Sciences, Shiraz, Iran</w:t>
      </w:r>
      <w:r w:rsidRPr="00DD18D2">
        <w:rPr>
          <w:rFonts w:ascii="Cambria" w:hAnsi="Cambria" w:cstheme="minorHAnsi"/>
          <w:sz w:val="18"/>
          <w:szCs w:val="18"/>
          <w:lang w:val="en-SG"/>
        </w:rPr>
        <w:br/>
      </w:r>
      <w:r w:rsidRPr="00DD18D2">
        <w:rPr>
          <w:rFonts w:ascii="Cambria" w:hAnsi="Cambria" w:cstheme="minorHAnsi"/>
          <w:sz w:val="18"/>
          <w:szCs w:val="18"/>
          <w:vertAlign w:val="superscript"/>
          <w:lang w:val="en-SG"/>
        </w:rPr>
        <w:t>2</w:t>
      </w:r>
      <w:r w:rsidRPr="00DD18D2">
        <w:rPr>
          <w:rFonts w:ascii="Cambria" w:hAnsi="Cambria" w:cstheme="minorHAnsi"/>
          <w:sz w:val="18"/>
          <w:szCs w:val="18"/>
          <w:lang w:val="en-SG"/>
        </w:rPr>
        <w:t>Department of pathology, Shiraz University of Medical Sciences, Shiraz, Iran</w:t>
      </w:r>
    </w:p>
    <w:p w:rsidR="00AE5E9F" w:rsidRPr="00DD18D2" w:rsidRDefault="00AE5E9F" w:rsidP="00AE5E9F">
      <w:pPr>
        <w:tabs>
          <w:tab w:val="left" w:pos="7046"/>
          <w:tab w:val="right" w:pos="9026"/>
        </w:tabs>
        <w:bidi w:val="0"/>
        <w:spacing w:after="0" w:line="360" w:lineRule="auto"/>
        <w:rPr>
          <w:rFonts w:ascii="Cambria" w:hAnsi="Cambria" w:cstheme="minorHAnsi"/>
          <w:sz w:val="18"/>
          <w:szCs w:val="18"/>
          <w:lang w:val="en-SG"/>
        </w:rPr>
      </w:pPr>
      <w:r w:rsidRPr="00DD18D2">
        <w:rPr>
          <w:rFonts w:ascii="Cambria" w:hAnsi="Cambria" w:cstheme="minorHAnsi"/>
          <w:sz w:val="18"/>
          <w:szCs w:val="18"/>
        </w:rPr>
        <w:t xml:space="preserve">Department of Otolaryngology, Head and Neck Surgery, </w:t>
      </w:r>
      <w:r w:rsidRPr="00DD18D2">
        <w:rPr>
          <w:rFonts w:ascii="Cambria" w:hAnsi="Cambria" w:cstheme="minorHAnsi"/>
          <w:sz w:val="18"/>
          <w:szCs w:val="18"/>
          <w:lang w:val="en-SG"/>
        </w:rPr>
        <w:t>Shiraz University of Medical Sciences</w:t>
      </w:r>
      <w:r w:rsidRPr="00DD18D2">
        <w:rPr>
          <w:rFonts w:ascii="Cambria" w:hAnsi="Cambria" w:cstheme="minorHAnsi"/>
          <w:sz w:val="18"/>
          <w:szCs w:val="18"/>
        </w:rPr>
        <w:t>, Khalili Avenue, Khalili Hospital, Shiraz, Iran.</w:t>
      </w:r>
    </w:p>
    <w:p w:rsidR="00AE5E9F" w:rsidRDefault="00AE5E9F" w:rsidP="00AE5E9F">
      <w:pPr>
        <w:pBdr>
          <w:bottom w:val="single" w:sz="6" w:space="1" w:color="auto"/>
        </w:pBdr>
        <w:bidi w:val="0"/>
        <w:spacing w:after="0" w:line="360" w:lineRule="auto"/>
        <w:rPr>
          <w:rFonts w:ascii="Cambria" w:hAnsi="Cambria" w:cstheme="minorHAnsi"/>
          <w:sz w:val="18"/>
          <w:szCs w:val="18"/>
          <w:lang w:val="en-SG"/>
        </w:rPr>
      </w:pPr>
      <w:r w:rsidRPr="00DD18D2">
        <w:rPr>
          <w:rFonts w:ascii="Cambria" w:eastAsia="Times New Roman Bold+FPEF" w:hAnsi="Cambria" w:cstheme="minorHAnsi"/>
          <w:b/>
          <w:bCs/>
          <w:sz w:val="18"/>
          <w:szCs w:val="18"/>
        </w:rPr>
        <w:t xml:space="preserve">Corresponding author: </w:t>
      </w:r>
      <w:r w:rsidRPr="00DD18D2">
        <w:rPr>
          <w:rFonts w:ascii="Cambria" w:hAnsi="Cambria" w:cstheme="minorHAnsi"/>
          <w:sz w:val="18"/>
          <w:szCs w:val="18"/>
          <w:lang w:val="en-SG"/>
        </w:rPr>
        <w:t>MahmoodShishegar</w:t>
      </w:r>
    </w:p>
    <w:p w:rsidR="00AE5E9F" w:rsidRPr="00DD18D2" w:rsidRDefault="00AE5E9F" w:rsidP="00AE5E9F">
      <w:pPr>
        <w:bidi w:val="0"/>
        <w:spacing w:after="0" w:line="360" w:lineRule="auto"/>
        <w:rPr>
          <w:rFonts w:ascii="Times New Roman" w:eastAsia="Times New Roman Bold+FPEF" w:hAnsi="Times New Roman" w:cs="Times New Roman"/>
          <w:b/>
          <w:bCs/>
          <w:sz w:val="20"/>
          <w:szCs w:val="20"/>
        </w:rPr>
      </w:pPr>
      <w:r w:rsidRPr="00DD18D2">
        <w:rPr>
          <w:rFonts w:ascii="Times New Roman" w:eastAsia="Times New Roman Bold+FPEF" w:hAnsi="Times New Roman" w:cs="Times New Roman"/>
          <w:b/>
          <w:bCs/>
          <w:sz w:val="18"/>
          <w:szCs w:val="18"/>
        </w:rPr>
        <w:br/>
      </w:r>
      <w:r w:rsidRPr="00DD18D2">
        <w:rPr>
          <w:rFonts w:ascii="Times New Roman" w:hAnsi="Times New Roman" w:cs="Times New Roman"/>
          <w:b/>
          <w:bCs/>
          <w:sz w:val="20"/>
          <w:szCs w:val="20"/>
        </w:rPr>
        <w:t>Abstract</w:t>
      </w:r>
    </w:p>
    <w:p w:rsidR="00AE5E9F" w:rsidRPr="00DD18D2" w:rsidRDefault="00AE5E9F" w:rsidP="00AE5E9F">
      <w:pPr>
        <w:bidi w:val="0"/>
        <w:spacing w:after="0" w:line="360" w:lineRule="auto"/>
        <w:jc w:val="both"/>
        <w:rPr>
          <w:rFonts w:ascii="Times New Roman" w:hAnsi="Times New Roman" w:cs="Times New Roman"/>
          <w:b/>
          <w:bCs/>
          <w:sz w:val="18"/>
          <w:szCs w:val="18"/>
        </w:rPr>
      </w:pPr>
      <w:r w:rsidRPr="00DD18D2">
        <w:rPr>
          <w:rFonts w:ascii="Times New Roman" w:eastAsia="Times New Roman" w:hAnsi="Times New Roman" w:cs="Times New Roman"/>
          <w:b/>
          <w:bCs/>
          <w:sz w:val="18"/>
          <w:szCs w:val="18"/>
        </w:rPr>
        <w:t xml:space="preserve">Background and Aims: </w:t>
      </w:r>
      <w:r w:rsidRPr="00DD18D2">
        <w:rPr>
          <w:rFonts w:ascii="Times New Roman" w:hAnsi="Times New Roman" w:cs="Times New Roman"/>
          <w:sz w:val="18"/>
          <w:szCs w:val="18"/>
        </w:rPr>
        <w:t xml:space="preserve">Chronic Tonsillitis (CT) and adenoid hypertrophy (AH) are very frequently reported diseases in children; however, their pathogeneses are not exactly known. High amounts of free radicals produced during inflammation cause oxidative stress. Due to high activity, the oxidation products can make toxic, mutagenic, and carcinogenic injuries. Yet, antioxidants play an important defensive role against oxidative stress. This study aimed to investigate the potential role of oxidative stress in the pathogenesis of CT in children. </w:t>
      </w:r>
    </w:p>
    <w:p w:rsidR="00AE5E9F" w:rsidRPr="00DD18D2" w:rsidRDefault="00AE5E9F" w:rsidP="00AE5E9F">
      <w:pPr>
        <w:bidi w:val="0"/>
        <w:spacing w:after="0" w:line="360" w:lineRule="auto"/>
        <w:jc w:val="both"/>
        <w:rPr>
          <w:rFonts w:ascii="Times New Roman" w:hAnsi="Times New Roman" w:cs="Times New Roman"/>
          <w:sz w:val="18"/>
          <w:szCs w:val="18"/>
        </w:rPr>
      </w:pPr>
      <w:r w:rsidRPr="00DD18D2">
        <w:rPr>
          <w:rFonts w:ascii="Times New Roman" w:eastAsia="Times New Roman" w:hAnsi="Times New Roman" w:cs="Times New Roman"/>
          <w:b/>
          <w:bCs/>
          <w:sz w:val="18"/>
          <w:szCs w:val="18"/>
        </w:rPr>
        <w:t>Subjectsand Methods:</w:t>
      </w:r>
      <w:r w:rsidRPr="00DD18D2">
        <w:rPr>
          <w:rFonts w:ascii="Times New Roman" w:hAnsi="Times New Roman" w:cs="Times New Roman"/>
          <w:sz w:val="18"/>
          <w:szCs w:val="18"/>
        </w:rPr>
        <w:t xml:space="preserve"> This case-control study was conducted on 20 children who suffered from CT and were prepared for adenotonsillectomy. The control group included 20 age- and sex-matched healthy children with normal ENT examination. The blood levels of antioxidants (</w:t>
      </w:r>
      <w:r w:rsidRPr="00DD18D2">
        <w:rPr>
          <w:rStyle w:val="apple-style-span"/>
          <w:rFonts w:ascii="Times New Roman" w:hAnsi="Times New Roman" w:cs="Times New Roman"/>
          <w:color w:val="000000"/>
          <w:sz w:val="18"/>
          <w:szCs w:val="18"/>
        </w:rPr>
        <w:t>glutathione</w:t>
      </w:r>
      <w:r w:rsidRPr="00DD18D2">
        <w:rPr>
          <w:rFonts w:ascii="Times New Roman" w:hAnsi="Times New Roman" w:cs="Times New Roman"/>
          <w:sz w:val="18"/>
          <w:szCs w:val="18"/>
        </w:rPr>
        <w:t xml:space="preserve">) and peroxidation products (malondialdehyde) were determined before and 1 month after the operation in the patient group and only once in the control group. </w:t>
      </w:r>
    </w:p>
    <w:p w:rsidR="00AE5E9F" w:rsidRPr="00DD18D2" w:rsidRDefault="00AE5E9F" w:rsidP="00AE5E9F">
      <w:pPr>
        <w:bidi w:val="0"/>
        <w:spacing w:after="0" w:line="360" w:lineRule="auto"/>
        <w:jc w:val="both"/>
        <w:rPr>
          <w:rFonts w:ascii="Times New Roman" w:hAnsi="Times New Roman" w:cs="Times New Roman"/>
          <w:sz w:val="18"/>
          <w:szCs w:val="18"/>
        </w:rPr>
      </w:pPr>
      <w:r w:rsidRPr="00DD18D2">
        <w:rPr>
          <w:rFonts w:ascii="Times New Roman" w:hAnsi="Times New Roman" w:cs="Times New Roman"/>
          <w:b/>
          <w:bCs/>
          <w:sz w:val="18"/>
          <w:szCs w:val="18"/>
        </w:rPr>
        <w:t xml:space="preserve">Results: </w:t>
      </w:r>
      <w:r w:rsidRPr="00DD18D2">
        <w:rPr>
          <w:rFonts w:ascii="Times New Roman" w:hAnsi="Times New Roman" w:cs="Times New Roman"/>
          <w:sz w:val="18"/>
          <w:szCs w:val="18"/>
        </w:rPr>
        <w:t>A significant difference was found between the patients and the controls regardingthe pre and post-operative serum levels of malondialdehyde (MDA)</w:t>
      </w:r>
      <w:r w:rsidRPr="00DD18D2">
        <w:rPr>
          <w:rStyle w:val="apple-style-span"/>
          <w:rFonts w:ascii="Times New Roman" w:hAnsi="Times New Roman" w:cs="Times New Roman"/>
          <w:color w:val="000000"/>
          <w:sz w:val="18"/>
          <w:szCs w:val="18"/>
        </w:rPr>
        <w:t xml:space="preserve"> and glutathione</w:t>
      </w:r>
      <w:r w:rsidRPr="00DD18D2">
        <w:rPr>
          <w:rFonts w:ascii="Times New Roman" w:hAnsi="Times New Roman" w:cs="Times New Roman"/>
          <w:sz w:val="18"/>
          <w:szCs w:val="18"/>
        </w:rPr>
        <w:t xml:space="preserve"> (GSH) (</w:t>
      </w:r>
      <w:r w:rsidRPr="00DD18D2">
        <w:rPr>
          <w:rFonts w:ascii="Times New Roman" w:hAnsi="Times New Roman" w:cs="Times New Roman"/>
          <w:i/>
          <w:iCs/>
          <w:sz w:val="18"/>
          <w:szCs w:val="18"/>
        </w:rPr>
        <w:t>P</w:t>
      </w:r>
      <w:r w:rsidRPr="00DD18D2">
        <w:rPr>
          <w:rFonts w:ascii="Times New Roman" w:hAnsi="Times New Roman" w:cs="Times New Roman"/>
          <w:sz w:val="18"/>
          <w:szCs w:val="18"/>
        </w:rPr>
        <w:t>&lt;0.05). In the patient group, the blood GSH level increased and MDA level decreased significantly after the operation (</w:t>
      </w:r>
      <w:r w:rsidRPr="00DD18D2">
        <w:rPr>
          <w:rFonts w:ascii="Times New Roman" w:hAnsi="Times New Roman" w:cs="Times New Roman"/>
          <w:i/>
          <w:iCs/>
          <w:sz w:val="18"/>
          <w:szCs w:val="18"/>
        </w:rPr>
        <w:t>P</w:t>
      </w:r>
      <w:r w:rsidRPr="00DD18D2">
        <w:rPr>
          <w:rFonts w:ascii="Times New Roman" w:hAnsi="Times New Roman" w:cs="Times New Roman"/>
          <w:sz w:val="18"/>
          <w:szCs w:val="18"/>
        </w:rPr>
        <w:t>&lt;0</w:t>
      </w:r>
      <w:r w:rsidRPr="00DD18D2">
        <w:rPr>
          <w:rFonts w:ascii="Times New Roman" w:hAnsi="Times New Roman" w:cs="Times New Roman"/>
          <w:i/>
          <w:iCs/>
          <w:sz w:val="18"/>
          <w:szCs w:val="18"/>
        </w:rPr>
        <w:t>.</w:t>
      </w:r>
      <w:r w:rsidRPr="00DD18D2">
        <w:rPr>
          <w:rFonts w:ascii="Times New Roman" w:hAnsi="Times New Roman" w:cs="Times New Roman"/>
          <w:sz w:val="18"/>
          <w:szCs w:val="18"/>
        </w:rPr>
        <w:t xml:space="preserve">05). However, they never reached the normal levels in the control group. </w:t>
      </w:r>
    </w:p>
    <w:p w:rsidR="00AE5E9F" w:rsidRPr="00DD18D2" w:rsidRDefault="00AE5E9F" w:rsidP="00AE5E9F">
      <w:pPr>
        <w:bidi w:val="0"/>
        <w:spacing w:after="0" w:line="360" w:lineRule="auto"/>
        <w:jc w:val="both"/>
        <w:rPr>
          <w:rFonts w:ascii="Times New Roman" w:hAnsi="Times New Roman" w:cs="Times New Roman"/>
          <w:sz w:val="18"/>
          <w:szCs w:val="18"/>
        </w:rPr>
      </w:pPr>
      <w:r w:rsidRPr="00DD18D2">
        <w:rPr>
          <w:rFonts w:ascii="Times New Roman" w:hAnsi="Times New Roman" w:cs="Times New Roman"/>
          <w:b/>
          <w:bCs/>
          <w:sz w:val="18"/>
          <w:szCs w:val="18"/>
        </w:rPr>
        <w:t>Conclusions:</w:t>
      </w:r>
      <w:r w:rsidRPr="00DD18D2">
        <w:rPr>
          <w:rFonts w:ascii="Times New Roman" w:hAnsi="Times New Roman" w:cs="Times New Roman"/>
          <w:sz w:val="18"/>
          <w:szCs w:val="18"/>
        </w:rPr>
        <w:t xml:space="preserve"> CT and AH can influence the oxidative productions and antioxidants due to the chronic condition in the children. Oxidative stress was obviously observed in these children. Adenotonsillectomy significantly reduced the oxidative stress but could not regulate this disorder completely. </w:t>
      </w:r>
    </w:p>
    <w:p w:rsidR="00AE5E9F" w:rsidRDefault="00AE5E9F" w:rsidP="00AE5E9F">
      <w:pPr>
        <w:pBdr>
          <w:bottom w:val="single" w:sz="6" w:space="1" w:color="auto"/>
        </w:pBdr>
        <w:bidi w:val="0"/>
        <w:spacing w:after="0" w:line="360" w:lineRule="auto"/>
        <w:jc w:val="both"/>
        <w:rPr>
          <w:rFonts w:ascii="Times New Roman" w:hAnsi="Times New Roman" w:cs="Times New Roman"/>
          <w:sz w:val="20"/>
          <w:szCs w:val="20"/>
        </w:rPr>
      </w:pPr>
      <w:r w:rsidRPr="00DD18D2">
        <w:rPr>
          <w:rFonts w:ascii="Times New Roman" w:hAnsi="Times New Roman" w:cs="Times New Roman"/>
          <w:b/>
          <w:bCs/>
          <w:sz w:val="18"/>
          <w:szCs w:val="18"/>
        </w:rPr>
        <w:t>Keywords</w:t>
      </w:r>
      <w:r w:rsidRPr="00DD18D2">
        <w:rPr>
          <w:rFonts w:ascii="Times New Roman" w:hAnsi="Times New Roman" w:cs="Times New Roman"/>
          <w:sz w:val="18"/>
          <w:szCs w:val="18"/>
        </w:rPr>
        <w:t>: Chronic tonsillitis, Adenotonsillectomy, Oxidative stress, Antioxidant</w:t>
      </w:r>
    </w:p>
    <w:p w:rsidR="0006104F" w:rsidRDefault="0006104F"/>
    <w:sectPr w:rsidR="0006104F" w:rsidSect="000610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3B1" w:rsidRDefault="001F03B1" w:rsidP="00AE5E9F">
      <w:pPr>
        <w:spacing w:after="0" w:line="240" w:lineRule="auto"/>
      </w:pPr>
      <w:r>
        <w:separator/>
      </w:r>
    </w:p>
  </w:endnote>
  <w:endnote w:type="continuationSeparator" w:id="1">
    <w:p w:rsidR="001F03B1" w:rsidRDefault="001F03B1" w:rsidP="00AE5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Bold+FPE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3B1" w:rsidRDefault="001F03B1" w:rsidP="00AE5E9F">
      <w:pPr>
        <w:spacing w:after="0" w:line="240" w:lineRule="auto"/>
      </w:pPr>
      <w:r>
        <w:separator/>
      </w:r>
    </w:p>
  </w:footnote>
  <w:footnote w:type="continuationSeparator" w:id="1">
    <w:p w:rsidR="001F03B1" w:rsidRDefault="001F03B1" w:rsidP="00AE5E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E9F" w:rsidRPr="00682B5C" w:rsidRDefault="00AE5E9F" w:rsidP="00AE5E9F">
    <w:pPr>
      <w:pStyle w:val="Header"/>
      <w:jc w:val="center"/>
      <w:rPr>
        <w:rFonts w:ascii="Times New Roman" w:hAnsi="Times New Roman"/>
      </w:rPr>
    </w:pPr>
    <w:r w:rsidRPr="007F739E">
      <w:rPr>
        <w:rFonts w:ascii="Times New Roman" w:hAnsi="Times New Roman"/>
        <w:sz w:val="20"/>
      </w:rPr>
      <w:t>Indian Journal of Basic and Applied Medical Research; June 20</w:t>
    </w:r>
    <w:r>
      <w:rPr>
        <w:rFonts w:ascii="Times New Roman" w:hAnsi="Times New Roman"/>
        <w:sz w:val="20"/>
      </w:rPr>
      <w:t>15: Vol.-4, Issue- 3, P. 221-226</w:t>
    </w:r>
  </w:p>
  <w:p w:rsidR="00AE5E9F" w:rsidRDefault="00AE5E9F" w:rsidP="00AE5E9F">
    <w:pPr>
      <w:pStyle w:val="Header"/>
    </w:pPr>
  </w:p>
  <w:p w:rsidR="00AE5E9F" w:rsidRDefault="00AE5E9F" w:rsidP="00AE5E9F">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5E9F"/>
    <w:rsid w:val="000061B3"/>
    <w:rsid w:val="0006104F"/>
    <w:rsid w:val="001F03B1"/>
    <w:rsid w:val="00274F00"/>
    <w:rsid w:val="00A03D21"/>
    <w:rsid w:val="00A83F59"/>
    <w:rsid w:val="00AE3137"/>
    <w:rsid w:val="00AE5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E9F"/>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E5E9F"/>
  </w:style>
  <w:style w:type="character" w:customStyle="1" w:styleId="apple-converted-space">
    <w:name w:val="apple-converted-space"/>
    <w:basedOn w:val="DefaultParagraphFont"/>
    <w:rsid w:val="00AE5E9F"/>
  </w:style>
  <w:style w:type="paragraph" w:styleId="Header">
    <w:name w:val="header"/>
    <w:aliases w:val="Char"/>
    <w:basedOn w:val="Normal"/>
    <w:link w:val="HeaderChar"/>
    <w:uiPriority w:val="99"/>
    <w:unhideWhenUsed/>
    <w:rsid w:val="00AE5E9F"/>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AE5E9F"/>
    <w:rPr>
      <w:lang w:bidi="fa-IR"/>
    </w:rPr>
  </w:style>
  <w:style w:type="paragraph" w:styleId="Footer">
    <w:name w:val="footer"/>
    <w:basedOn w:val="Normal"/>
    <w:link w:val="FooterChar"/>
    <w:uiPriority w:val="99"/>
    <w:semiHidden/>
    <w:unhideWhenUsed/>
    <w:rsid w:val="00AE5E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5E9F"/>
    <w:rPr>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2015-06-18T04:29:00Z</dcterms:created>
  <dcterms:modified xsi:type="dcterms:W3CDTF">2015-06-18T04:30:00Z</dcterms:modified>
</cp:coreProperties>
</file>